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8B" w:rsidRDefault="00FB6F8B" w:rsidP="00FB6F8B">
      <w:pPr>
        <w:pStyle w:val="2"/>
        <w:tabs>
          <w:tab w:val="left" w:pos="0"/>
        </w:tabs>
        <w:ind w:left="0" w:firstLine="0"/>
        <w:rPr>
          <w:rFonts w:eastAsia="SimSun"/>
          <w:i/>
          <w:iCs/>
          <w:color w:val="5B9BD5"/>
          <w:lang w:val="el-GR"/>
        </w:rPr>
      </w:pPr>
      <w:bookmarkStart w:id="0" w:name="_Toc514765822"/>
      <w:bookmarkStart w:id="1" w:name="_Toc476138531"/>
      <w:bookmarkStart w:id="2" w:name="_Toc22737874"/>
      <w:r>
        <w:rPr>
          <w:lang w:val="el-GR"/>
        </w:rPr>
        <w:t>ΠΑΡΑΡΤΗΜΑ Ι</w:t>
      </w:r>
      <w:r>
        <w:rPr>
          <w:lang w:val="en-US"/>
        </w:rPr>
        <w:t>V</w:t>
      </w:r>
      <w:r>
        <w:rPr>
          <w:lang w:val="el-GR"/>
        </w:rPr>
        <w:t xml:space="preserve"> – Τεχνικές Προδιαγραφές – Φύλλο Συμμόρφωσης</w:t>
      </w:r>
      <w:bookmarkEnd w:id="0"/>
      <w:bookmarkEnd w:id="1"/>
      <w:bookmarkEnd w:id="2"/>
    </w:p>
    <w:p w:rsidR="00FB6F8B" w:rsidRDefault="00FB6F8B" w:rsidP="00FB6F8B">
      <w:pPr>
        <w:tabs>
          <w:tab w:val="left" w:pos="360"/>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ind w:left="-709"/>
        <w:jc w:val="center"/>
        <w:rPr>
          <w:b/>
          <w:szCs w:val="22"/>
          <w:lang w:val="el-GR"/>
        </w:rPr>
      </w:pPr>
      <w:r>
        <w:rPr>
          <w:b/>
          <w:szCs w:val="22"/>
          <w:lang w:val="el-GR"/>
        </w:rPr>
        <w:t xml:space="preserve">(Αποτελεί αναπόσπαστο μέρος της διακήρυξης </w:t>
      </w:r>
      <w:proofErr w:type="spellStart"/>
      <w:r>
        <w:rPr>
          <w:b/>
          <w:szCs w:val="22"/>
          <w:lang w:val="el-GR"/>
        </w:rPr>
        <w:t>υπ΄</w:t>
      </w:r>
      <w:proofErr w:type="spellEnd"/>
      <w:r>
        <w:rPr>
          <w:b/>
          <w:szCs w:val="22"/>
          <w:lang w:val="el-GR"/>
        </w:rPr>
        <w:t xml:space="preserve"> αριθ. </w:t>
      </w:r>
      <w:r w:rsidRPr="00EB1D38">
        <w:rPr>
          <w:b/>
          <w:szCs w:val="22"/>
          <w:lang w:val="el-GR"/>
        </w:rPr>
        <w:t>3/2021)</w:t>
      </w:r>
    </w:p>
    <w:p w:rsidR="00FB6F8B" w:rsidRDefault="00FB6F8B" w:rsidP="00FB6F8B">
      <w:pPr>
        <w:tabs>
          <w:tab w:val="left" w:pos="360"/>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ind w:left="-709"/>
        <w:jc w:val="center"/>
        <w:rPr>
          <w:szCs w:val="22"/>
          <w:lang w:val="el-GR"/>
        </w:rPr>
      </w:pPr>
    </w:p>
    <w:p w:rsidR="00FB6F8B" w:rsidRDefault="00FB6F8B" w:rsidP="00FB6F8B">
      <w:pPr>
        <w:tabs>
          <w:tab w:val="left" w:pos="360"/>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ind w:left="-709"/>
        <w:rPr>
          <w:szCs w:val="22"/>
          <w:lang w:val="el-GR"/>
        </w:rPr>
      </w:pPr>
      <w:r>
        <w:rPr>
          <w:szCs w:val="22"/>
          <w:lang w:val="el-GR"/>
        </w:rPr>
        <w:t xml:space="preserve">Τα προσφερόμενα καύσιμα θα πρέπει να πληρούν τις παρακάτω Τεχνικές Προδιαγραφές, που αποτελούν αναπόσπαστο μέρος της παρούσας Διακήρυξης. </w:t>
      </w:r>
    </w:p>
    <w:p w:rsidR="00FB6F8B" w:rsidRDefault="00FB6F8B" w:rsidP="00FB6F8B">
      <w:pPr>
        <w:tabs>
          <w:tab w:val="left" w:pos="360"/>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rPr>
          <w:szCs w:val="22"/>
          <w:lang w:val="el-GR"/>
        </w:rPr>
      </w:pP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4"/>
        <w:gridCol w:w="4642"/>
        <w:gridCol w:w="1583"/>
        <w:gridCol w:w="1559"/>
        <w:gridCol w:w="1777"/>
      </w:tblGrid>
      <w:tr w:rsidR="00FB6F8B" w:rsidTr="006A2A2D">
        <w:trPr>
          <w:trHeight w:val="647"/>
          <w:jc w:val="center"/>
        </w:trPr>
        <w:tc>
          <w:tcPr>
            <w:tcW w:w="773"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FB6F8B" w:rsidRDefault="00FB6F8B" w:rsidP="006A2A2D">
            <w:pPr>
              <w:jc w:val="center"/>
              <w:rPr>
                <w:b/>
                <w:szCs w:val="22"/>
              </w:rPr>
            </w:pPr>
            <w:bookmarkStart w:id="3" w:name="OLE_LINK1"/>
            <w:r>
              <w:rPr>
                <w:b/>
                <w:szCs w:val="22"/>
              </w:rPr>
              <w:t>Α/Α</w:t>
            </w:r>
          </w:p>
        </w:tc>
        <w:tc>
          <w:tcPr>
            <w:tcW w:w="4641" w:type="dxa"/>
            <w:tcBorders>
              <w:top w:val="single" w:sz="4" w:space="0" w:color="auto"/>
              <w:left w:val="single" w:sz="4" w:space="0" w:color="auto"/>
              <w:bottom w:val="single" w:sz="4" w:space="0" w:color="auto"/>
              <w:right w:val="single" w:sz="4" w:space="0" w:color="auto"/>
            </w:tcBorders>
            <w:shd w:val="clear" w:color="auto" w:fill="CCCCCC"/>
            <w:vAlign w:val="center"/>
          </w:tcPr>
          <w:p w:rsidR="00FB6F8B" w:rsidRDefault="00FB6F8B" w:rsidP="006A2A2D">
            <w:pPr>
              <w:jc w:val="center"/>
              <w:rPr>
                <w:b/>
                <w:szCs w:val="22"/>
              </w:rPr>
            </w:pPr>
          </w:p>
          <w:p w:rsidR="00FB6F8B" w:rsidRDefault="00FB6F8B" w:rsidP="006A2A2D">
            <w:pPr>
              <w:jc w:val="center"/>
              <w:rPr>
                <w:b/>
                <w:szCs w:val="22"/>
              </w:rPr>
            </w:pPr>
            <w:r>
              <w:rPr>
                <w:b/>
                <w:szCs w:val="22"/>
              </w:rPr>
              <w:t>ΧΑΡΑΚΤΗΡΙΣΤΙΚΑ</w:t>
            </w:r>
          </w:p>
          <w:p w:rsidR="00FB6F8B" w:rsidRDefault="00FB6F8B" w:rsidP="006A2A2D">
            <w:pPr>
              <w:jc w:val="center"/>
              <w:rPr>
                <w:b/>
                <w:szCs w:val="22"/>
              </w:rPr>
            </w:pPr>
          </w:p>
        </w:tc>
        <w:tc>
          <w:tcPr>
            <w:tcW w:w="1583"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FB6F8B" w:rsidRDefault="00FB6F8B" w:rsidP="006A2A2D">
            <w:pPr>
              <w:jc w:val="center"/>
              <w:rPr>
                <w:b/>
                <w:szCs w:val="22"/>
              </w:rPr>
            </w:pPr>
            <w:r>
              <w:rPr>
                <w:b/>
                <w:szCs w:val="22"/>
              </w:rPr>
              <w:t>ΑΠΑΙΤΗΣΗ</w:t>
            </w:r>
          </w:p>
        </w:tc>
        <w:tc>
          <w:tcPr>
            <w:tcW w:w="1559"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FB6F8B" w:rsidRDefault="00FB6F8B" w:rsidP="006A2A2D">
            <w:pPr>
              <w:jc w:val="center"/>
              <w:rPr>
                <w:b/>
                <w:szCs w:val="22"/>
              </w:rPr>
            </w:pPr>
            <w:r>
              <w:rPr>
                <w:b/>
                <w:szCs w:val="22"/>
              </w:rPr>
              <w:t>ΑΠΑΝΤΗΣΗ</w:t>
            </w:r>
          </w:p>
        </w:tc>
        <w:tc>
          <w:tcPr>
            <w:tcW w:w="1776"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FB6F8B" w:rsidRDefault="00FB6F8B" w:rsidP="006A2A2D">
            <w:pPr>
              <w:jc w:val="center"/>
              <w:rPr>
                <w:b/>
                <w:szCs w:val="22"/>
              </w:rPr>
            </w:pPr>
            <w:r>
              <w:rPr>
                <w:b/>
                <w:szCs w:val="22"/>
              </w:rPr>
              <w:t>ΠΑΡΑΠΟΜΠΗ</w:t>
            </w: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b/>
                <w:i/>
                <w:szCs w:val="22"/>
                <w:lang w:val="en-US"/>
              </w:rPr>
            </w:pPr>
            <w:r>
              <w:rPr>
                <w:b/>
                <w:i/>
                <w:szCs w:val="22"/>
                <w:lang w:val="en-US"/>
              </w:rPr>
              <w:t>1</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autoSpaceDE w:val="0"/>
              <w:autoSpaceDN w:val="0"/>
              <w:adjustRightInd w:val="0"/>
              <w:rPr>
                <w:b/>
                <w:i/>
                <w:szCs w:val="22"/>
              </w:rPr>
            </w:pPr>
            <w:r>
              <w:rPr>
                <w:b/>
                <w:i/>
                <w:szCs w:val="22"/>
              </w:rPr>
              <w:t>ΕΙΣΑΓΩΓΗ</w:t>
            </w:r>
          </w:p>
        </w:tc>
        <w:tc>
          <w:tcPr>
            <w:tcW w:w="1583"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jc w:val="center"/>
              <w:rPr>
                <w:szCs w:val="22"/>
              </w:rPr>
            </w:pP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rPr>
            </w:pPr>
          </w:p>
        </w:tc>
      </w:tr>
      <w:tr w:rsidR="00FB6F8B" w:rsidRP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szCs w:val="22"/>
              </w:rPr>
            </w:pPr>
            <w:r>
              <w:rPr>
                <w:szCs w:val="22"/>
              </w:rPr>
              <w:t>1.1</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autoSpaceDE w:val="0"/>
              <w:autoSpaceDN w:val="0"/>
              <w:adjustRightInd w:val="0"/>
              <w:rPr>
                <w:szCs w:val="22"/>
                <w:lang w:val="el-GR"/>
              </w:rPr>
            </w:pPr>
            <w:r>
              <w:rPr>
                <w:szCs w:val="22"/>
                <w:lang w:val="el-GR"/>
              </w:rPr>
              <w:t>Οι παρούσες τεχνικές προδιαγραφές αφορούν την προμήθεια πετρελαίου θέρμανσης, αμόλυβδης βενζίνης, υγραερίου κίνησης, πετρελαίου κίνησης</w:t>
            </w:r>
            <w:r w:rsidRPr="00CC199B">
              <w:rPr>
                <w:szCs w:val="22"/>
                <w:lang w:val="el-GR"/>
              </w:rPr>
              <w:t xml:space="preserve">, </w:t>
            </w:r>
            <w:r>
              <w:rPr>
                <w:szCs w:val="22"/>
                <w:lang w:val="en-US"/>
              </w:rPr>
              <w:t>ADBLUE</w:t>
            </w:r>
            <w:r w:rsidRPr="00CC199B">
              <w:rPr>
                <w:szCs w:val="22"/>
                <w:lang w:val="el-GR"/>
              </w:rPr>
              <w:t>.</w:t>
            </w:r>
          </w:p>
        </w:tc>
        <w:tc>
          <w:tcPr>
            <w:tcW w:w="1583"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jc w:val="center"/>
              <w:rPr>
                <w:szCs w:val="22"/>
                <w:lang w:val="el-GR"/>
              </w:rPr>
            </w:pP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lang w:val="el-GR"/>
              </w:rPr>
            </w:pPr>
          </w:p>
        </w:tc>
      </w:tr>
      <w:tr w:rsidR="00FB6F8B" w:rsidTr="006A2A2D">
        <w:trPr>
          <w:trHeight w:val="2395"/>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szCs w:val="22"/>
              </w:rPr>
            </w:pPr>
            <w:r>
              <w:rPr>
                <w:szCs w:val="22"/>
                <w:lang w:val="en-US"/>
              </w:rPr>
              <w:t>1.</w:t>
            </w:r>
            <w:r>
              <w:rPr>
                <w:szCs w:val="22"/>
              </w:rPr>
              <w:t>2</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autoSpaceDE w:val="0"/>
              <w:autoSpaceDN w:val="0"/>
              <w:adjustRightInd w:val="0"/>
              <w:rPr>
                <w:szCs w:val="22"/>
                <w:lang w:val="el-GR"/>
              </w:rPr>
            </w:pPr>
            <w:r>
              <w:rPr>
                <w:rFonts w:cs="ArialMT"/>
                <w:color w:val="000000"/>
                <w:szCs w:val="22"/>
                <w:lang w:val="el-GR" w:eastAsia="en-US"/>
              </w:rPr>
              <w:t xml:space="preserve">Οι προσφέροντες θα πρέπει να δηλώσουν  τη συμμόρφωσή τους με τις απαιτήσεις των Τεχνικών Προδιαγραφών, όπως αυτές περιγράφονται στο παρόν παράρτημα,  οι οποίες θα συμπεριληφθούν ως όροι της σύμβασης που θα υπογραφεί. </w:t>
            </w:r>
            <w:r w:rsidRPr="00CC199B">
              <w:rPr>
                <w:szCs w:val="22"/>
                <w:lang w:val="el-GR"/>
              </w:rPr>
              <w:t>Η</w:t>
            </w:r>
            <w:r>
              <w:rPr>
                <w:szCs w:val="22"/>
                <w:lang w:val="el-GR"/>
              </w:rPr>
              <w:t xml:space="preserve"> </w:t>
            </w:r>
            <w:r w:rsidRPr="00CC199B">
              <w:rPr>
                <w:w w:val="109"/>
                <w:szCs w:val="22"/>
                <w:lang w:val="el-GR"/>
              </w:rPr>
              <w:t>δήλ</w:t>
            </w:r>
            <w:r w:rsidRPr="00CC199B">
              <w:rPr>
                <w:spacing w:val="1"/>
                <w:w w:val="109"/>
                <w:szCs w:val="22"/>
                <w:lang w:val="el-GR"/>
              </w:rPr>
              <w:t>ω</w:t>
            </w:r>
            <w:r w:rsidRPr="00CC199B">
              <w:rPr>
                <w:w w:val="109"/>
                <w:szCs w:val="22"/>
                <w:lang w:val="el-GR"/>
              </w:rPr>
              <w:t>ση</w:t>
            </w:r>
            <w:r>
              <w:rPr>
                <w:w w:val="109"/>
                <w:szCs w:val="22"/>
                <w:lang w:val="el-GR"/>
              </w:rPr>
              <w:t xml:space="preserve"> </w:t>
            </w:r>
            <w:r w:rsidRPr="00CC199B">
              <w:rPr>
                <w:spacing w:val="-1"/>
                <w:w w:val="106"/>
                <w:szCs w:val="22"/>
                <w:lang w:val="el-GR"/>
              </w:rPr>
              <w:t>α</w:t>
            </w:r>
            <w:r w:rsidRPr="00CC199B">
              <w:rPr>
                <w:spacing w:val="1"/>
                <w:w w:val="106"/>
                <w:szCs w:val="22"/>
                <w:lang w:val="el-GR"/>
              </w:rPr>
              <w:t>υ</w:t>
            </w:r>
            <w:r w:rsidRPr="00CC199B">
              <w:rPr>
                <w:w w:val="113"/>
                <w:szCs w:val="22"/>
                <w:lang w:val="el-GR"/>
              </w:rPr>
              <w:t>τ</w:t>
            </w:r>
            <w:r w:rsidRPr="00CC199B">
              <w:rPr>
                <w:w w:val="110"/>
                <w:szCs w:val="22"/>
                <w:lang w:val="el-GR"/>
              </w:rPr>
              <w:t xml:space="preserve">ή </w:t>
            </w:r>
            <w:r w:rsidRPr="00CC199B">
              <w:rPr>
                <w:spacing w:val="1"/>
                <w:w w:val="109"/>
                <w:szCs w:val="22"/>
                <w:lang w:val="el-GR"/>
              </w:rPr>
              <w:t>υ</w:t>
            </w:r>
            <w:r w:rsidRPr="00CC199B">
              <w:rPr>
                <w:spacing w:val="-1"/>
                <w:w w:val="109"/>
                <w:szCs w:val="22"/>
                <w:lang w:val="el-GR"/>
              </w:rPr>
              <w:t>π</w:t>
            </w:r>
            <w:r w:rsidRPr="00CC199B">
              <w:rPr>
                <w:w w:val="109"/>
                <w:szCs w:val="22"/>
                <w:lang w:val="el-GR"/>
              </w:rPr>
              <w:t>οβ</w:t>
            </w:r>
            <w:r w:rsidRPr="00CC199B">
              <w:rPr>
                <w:spacing w:val="-1"/>
                <w:w w:val="109"/>
                <w:szCs w:val="22"/>
                <w:lang w:val="el-GR"/>
              </w:rPr>
              <w:t>ά</w:t>
            </w:r>
            <w:r w:rsidRPr="00CC199B">
              <w:rPr>
                <w:w w:val="109"/>
                <w:szCs w:val="22"/>
                <w:lang w:val="el-GR"/>
              </w:rPr>
              <w:t>λλ</w:t>
            </w:r>
            <w:r w:rsidRPr="00CC199B">
              <w:rPr>
                <w:spacing w:val="1"/>
                <w:w w:val="109"/>
                <w:szCs w:val="22"/>
                <w:lang w:val="el-GR"/>
              </w:rPr>
              <w:t>ε</w:t>
            </w:r>
            <w:r w:rsidRPr="00CC199B">
              <w:rPr>
                <w:w w:val="109"/>
                <w:szCs w:val="22"/>
                <w:lang w:val="el-GR"/>
              </w:rPr>
              <w:t>τ</w:t>
            </w:r>
            <w:r w:rsidRPr="00CC199B">
              <w:rPr>
                <w:spacing w:val="-1"/>
                <w:w w:val="109"/>
                <w:szCs w:val="22"/>
                <w:lang w:val="el-GR"/>
              </w:rPr>
              <w:t>α</w:t>
            </w:r>
            <w:r w:rsidRPr="00CC199B">
              <w:rPr>
                <w:w w:val="109"/>
                <w:szCs w:val="22"/>
                <w:lang w:val="el-GR"/>
              </w:rPr>
              <w:t xml:space="preserve">ι </w:t>
            </w:r>
            <w:r w:rsidRPr="00CC199B">
              <w:rPr>
                <w:spacing w:val="-3"/>
                <w:szCs w:val="22"/>
                <w:lang w:val="el-GR"/>
              </w:rPr>
              <w:t>µ</w:t>
            </w:r>
            <w:proofErr w:type="spellStart"/>
            <w:r w:rsidRPr="00CC199B">
              <w:rPr>
                <w:spacing w:val="1"/>
                <w:szCs w:val="22"/>
                <w:lang w:val="el-GR"/>
              </w:rPr>
              <w:t>α</w:t>
            </w:r>
            <w:r w:rsidRPr="00CC199B">
              <w:rPr>
                <w:spacing w:val="-1"/>
                <w:szCs w:val="22"/>
                <w:lang w:val="el-GR"/>
              </w:rPr>
              <w:t>ζ</w:t>
            </w:r>
            <w:r w:rsidRPr="00CC199B">
              <w:rPr>
                <w:szCs w:val="22"/>
                <w:lang w:val="el-GR"/>
              </w:rPr>
              <w:t>ί</w:t>
            </w:r>
            <w:proofErr w:type="spellEnd"/>
            <w:r>
              <w:rPr>
                <w:szCs w:val="22"/>
                <w:lang w:val="el-GR"/>
              </w:rPr>
              <w:t xml:space="preserve"> </w:t>
            </w:r>
            <w:r w:rsidRPr="00CC199B">
              <w:rPr>
                <w:spacing w:val="-3"/>
                <w:szCs w:val="22"/>
                <w:lang w:val="el-GR"/>
              </w:rPr>
              <w:t>µ</w:t>
            </w:r>
            <w:r w:rsidRPr="00CC199B">
              <w:rPr>
                <w:szCs w:val="22"/>
                <w:lang w:val="el-GR"/>
              </w:rPr>
              <w:t xml:space="preserve">ε  τα  </w:t>
            </w:r>
            <w:r w:rsidRPr="00CC199B">
              <w:rPr>
                <w:w w:val="109"/>
                <w:szCs w:val="22"/>
                <w:lang w:val="el-GR"/>
              </w:rPr>
              <w:t>δ</w:t>
            </w:r>
            <w:r w:rsidRPr="00CC199B">
              <w:rPr>
                <w:spacing w:val="1"/>
                <w:w w:val="109"/>
                <w:szCs w:val="22"/>
                <w:lang w:val="el-GR"/>
              </w:rPr>
              <w:t>ι</w:t>
            </w:r>
            <w:r w:rsidRPr="00CC199B">
              <w:rPr>
                <w:spacing w:val="-3"/>
                <w:w w:val="109"/>
                <w:szCs w:val="22"/>
                <w:lang w:val="el-GR"/>
              </w:rPr>
              <w:t>κ</w:t>
            </w:r>
            <w:r w:rsidRPr="00CC199B">
              <w:rPr>
                <w:spacing w:val="1"/>
                <w:w w:val="109"/>
                <w:szCs w:val="22"/>
                <w:lang w:val="el-GR"/>
              </w:rPr>
              <w:t>αι</w:t>
            </w:r>
            <w:r w:rsidRPr="00CC199B">
              <w:rPr>
                <w:spacing w:val="-3"/>
                <w:w w:val="109"/>
                <w:szCs w:val="22"/>
                <w:lang w:val="el-GR"/>
              </w:rPr>
              <w:t>ο</w:t>
            </w:r>
            <w:r w:rsidRPr="00CC199B">
              <w:rPr>
                <w:spacing w:val="2"/>
                <w:w w:val="109"/>
                <w:szCs w:val="22"/>
                <w:lang w:val="el-GR"/>
              </w:rPr>
              <w:t>λ</w:t>
            </w:r>
            <w:r w:rsidRPr="00CC199B">
              <w:rPr>
                <w:spacing w:val="-3"/>
                <w:w w:val="109"/>
                <w:szCs w:val="22"/>
                <w:lang w:val="el-GR"/>
              </w:rPr>
              <w:t>ο</w:t>
            </w:r>
            <w:r w:rsidRPr="00CC199B">
              <w:rPr>
                <w:spacing w:val="2"/>
                <w:w w:val="109"/>
                <w:szCs w:val="22"/>
                <w:lang w:val="el-GR"/>
              </w:rPr>
              <w:t>γ</w:t>
            </w:r>
            <w:r w:rsidRPr="00CC199B">
              <w:rPr>
                <w:w w:val="109"/>
                <w:szCs w:val="22"/>
                <w:lang w:val="el-GR"/>
              </w:rPr>
              <w:t>η</w:t>
            </w:r>
            <w:r w:rsidRPr="00CC199B">
              <w:rPr>
                <w:spacing w:val="-3"/>
                <w:w w:val="109"/>
                <w:szCs w:val="22"/>
                <w:lang w:val="el-GR"/>
              </w:rPr>
              <w:t>τ</w:t>
            </w:r>
            <w:r w:rsidRPr="00CC199B">
              <w:rPr>
                <w:spacing w:val="1"/>
                <w:w w:val="109"/>
                <w:szCs w:val="22"/>
                <w:lang w:val="el-GR"/>
              </w:rPr>
              <w:t>ι</w:t>
            </w:r>
            <w:r w:rsidRPr="00CC199B">
              <w:rPr>
                <w:spacing w:val="-1"/>
                <w:w w:val="109"/>
                <w:szCs w:val="22"/>
                <w:lang w:val="el-GR"/>
              </w:rPr>
              <w:t>κ</w:t>
            </w:r>
            <w:r w:rsidRPr="00CC199B">
              <w:rPr>
                <w:w w:val="109"/>
                <w:szCs w:val="22"/>
                <w:lang w:val="el-GR"/>
              </w:rPr>
              <w:t>ά  σ</w:t>
            </w:r>
            <w:r w:rsidRPr="00CC199B">
              <w:rPr>
                <w:spacing w:val="1"/>
                <w:w w:val="109"/>
                <w:szCs w:val="22"/>
                <w:lang w:val="el-GR"/>
              </w:rPr>
              <w:t>υ</w:t>
            </w:r>
            <w:r w:rsidRPr="00CC199B">
              <w:rPr>
                <w:spacing w:val="-1"/>
                <w:w w:val="109"/>
                <w:szCs w:val="22"/>
                <w:lang w:val="el-GR"/>
              </w:rPr>
              <w:t>μμ</w:t>
            </w:r>
            <w:r w:rsidRPr="00CC199B">
              <w:rPr>
                <w:spacing w:val="1"/>
                <w:w w:val="109"/>
                <w:szCs w:val="22"/>
                <w:lang w:val="el-GR"/>
              </w:rPr>
              <w:t>ε</w:t>
            </w:r>
            <w:r w:rsidRPr="00CC199B">
              <w:rPr>
                <w:w w:val="109"/>
                <w:szCs w:val="22"/>
                <w:lang w:val="el-GR"/>
              </w:rPr>
              <w:t>τ</w:t>
            </w:r>
            <w:r w:rsidRPr="00CC199B">
              <w:rPr>
                <w:spacing w:val="-3"/>
                <w:w w:val="109"/>
                <w:szCs w:val="22"/>
                <w:lang w:val="el-GR"/>
              </w:rPr>
              <w:t>ο</w:t>
            </w:r>
            <w:r w:rsidRPr="00CC199B">
              <w:rPr>
                <w:w w:val="109"/>
                <w:szCs w:val="22"/>
                <w:lang w:val="el-GR"/>
              </w:rPr>
              <w:t>χής.</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jc w:val="center"/>
              <w:rPr>
                <w:szCs w:val="22"/>
                <w:lang w:val="el-GR"/>
              </w:rPr>
            </w:pPr>
            <w:r>
              <w:rPr>
                <w:szCs w:val="22"/>
                <w:lang w:val="en-US"/>
              </w:rPr>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lang w:val="el-GR"/>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rPr>
                <w:b/>
                <w:i/>
                <w:szCs w:val="22"/>
                <w:lang w:val="el-GR"/>
              </w:rPr>
            </w:pPr>
            <w:r w:rsidRPr="00CC199B">
              <w:rPr>
                <w:b/>
                <w:i/>
                <w:szCs w:val="22"/>
                <w:lang w:val="el-GR"/>
              </w:rPr>
              <w:t>2</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autoSpaceDE w:val="0"/>
              <w:autoSpaceDN w:val="0"/>
              <w:adjustRightInd w:val="0"/>
              <w:rPr>
                <w:b/>
                <w:i/>
                <w:szCs w:val="22"/>
                <w:lang w:val="el-GR"/>
              </w:rPr>
            </w:pPr>
            <w:r w:rsidRPr="00CC199B">
              <w:rPr>
                <w:b/>
                <w:i/>
                <w:szCs w:val="22"/>
                <w:lang w:val="el-GR"/>
              </w:rPr>
              <w:t>ΤΕΧΝΙΚΕΣ ΠΕΡΙΓΡΑΦΕΣ</w:t>
            </w:r>
          </w:p>
        </w:tc>
        <w:tc>
          <w:tcPr>
            <w:tcW w:w="1583"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jc w:val="center"/>
              <w:rPr>
                <w:szCs w:val="22"/>
                <w:lang w:val="el-GR"/>
              </w:rPr>
            </w:pPr>
          </w:p>
        </w:tc>
        <w:tc>
          <w:tcPr>
            <w:tcW w:w="1559"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lang w:val="el-GR"/>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rPr>
                <w:color w:val="000000"/>
                <w:szCs w:val="22"/>
                <w:lang w:val="el-GR"/>
              </w:rPr>
            </w:pPr>
            <w:r w:rsidRPr="00CC199B">
              <w:rPr>
                <w:color w:val="000000"/>
                <w:szCs w:val="22"/>
                <w:lang w:val="el-GR"/>
              </w:rPr>
              <w:t>2.1</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autoSpaceDE w:val="0"/>
              <w:autoSpaceDN w:val="0"/>
              <w:adjustRightInd w:val="0"/>
              <w:rPr>
                <w:szCs w:val="22"/>
                <w:lang w:val="el-GR"/>
              </w:rPr>
            </w:pPr>
            <w:r>
              <w:rPr>
                <w:rFonts w:cs="ArialMT"/>
                <w:color w:val="000000"/>
                <w:szCs w:val="22"/>
                <w:lang w:val="el-GR" w:eastAsia="en-US"/>
              </w:rPr>
              <w:t>Τα προσφερόμενα είδη  πρέπει να έχουν τα παρακάτω τεχνικά χαρακτηριστικά:</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jc w:val="center"/>
              <w:rPr>
                <w:szCs w:val="22"/>
                <w:lang w:val="el-GR"/>
              </w:rPr>
            </w:pPr>
            <w:r>
              <w:rPr>
                <w:szCs w:val="22"/>
                <w:lang w:val="en-US"/>
              </w:rPr>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highlight w:val="cyan"/>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Pr="00CC199B" w:rsidRDefault="00FB6F8B" w:rsidP="006A2A2D">
            <w:pPr>
              <w:rPr>
                <w:szCs w:val="22"/>
                <w:highlight w:val="yellow"/>
                <w:lang w:val="el-GR"/>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rPr>
                <w:color w:val="000000"/>
                <w:szCs w:val="22"/>
                <w:lang w:val="el-GR"/>
              </w:rPr>
            </w:pPr>
            <w:r w:rsidRPr="00CC199B">
              <w:rPr>
                <w:color w:val="000000"/>
                <w:szCs w:val="22"/>
                <w:lang w:val="el-GR"/>
              </w:rPr>
              <w:t>2.2</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pacing w:before="100" w:beforeAutospacing="1" w:after="100" w:afterAutospacing="1"/>
              <w:rPr>
                <w:rFonts w:cs="ArialMT"/>
                <w:color w:val="000000"/>
                <w:szCs w:val="22"/>
                <w:lang w:val="el-GR" w:eastAsia="en-US"/>
              </w:rPr>
            </w:pPr>
            <w:r>
              <w:rPr>
                <w:iCs/>
                <w:szCs w:val="22"/>
                <w:lang w:val="el-GR" w:eastAsia="el-GR"/>
              </w:rPr>
              <w:t xml:space="preserve">Το πετρέλαιο θέρμανσης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467/2002 (ΦΕΚ 1531/Β/2003) Απόφαση του ΑΧΣ του ΓΧΚ «Προδιαγραφές και μέθοδοι ελέγχου κα πετρελαίου θέρμανσης», όπως αυτή ισχύει σήμερα.</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rPr>
            </w:pPr>
            <w:r>
              <w:rPr>
                <w:szCs w:val="22"/>
                <w:lang w:val="en-US"/>
              </w:rPr>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color w:val="000000"/>
                <w:szCs w:val="22"/>
              </w:rPr>
            </w:pPr>
            <w:r>
              <w:rPr>
                <w:color w:val="000000"/>
                <w:szCs w:val="22"/>
              </w:rPr>
              <w:t>2.3</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pacing w:before="100" w:beforeAutospacing="1" w:after="100" w:afterAutospacing="1"/>
              <w:rPr>
                <w:rFonts w:cs="ArialMT"/>
                <w:color w:val="000000"/>
                <w:szCs w:val="22"/>
                <w:lang w:val="el-GR" w:eastAsia="en-US"/>
              </w:rPr>
            </w:pPr>
            <w:r>
              <w:rPr>
                <w:iCs/>
                <w:szCs w:val="22"/>
                <w:lang w:val="el-GR" w:eastAsia="el-GR"/>
              </w:rPr>
              <w:t xml:space="preserve">Το πετρέλαιο κίνησης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xml:space="preserve">. 514/2004 (ΦΕΚ 1490/Β/2006) Απόφαση του ΑΧΣ του ΓΧΚ «Πετρέλαιο κίνησης προδιαγραφές και μέθοδοι ελέγχου», καθώς και την </w:t>
            </w:r>
            <w:proofErr w:type="spellStart"/>
            <w:r>
              <w:rPr>
                <w:iCs/>
                <w:szCs w:val="22"/>
                <w:lang w:val="el-GR" w:eastAsia="el-GR"/>
              </w:rPr>
              <w:t>αριθμ</w:t>
            </w:r>
            <w:proofErr w:type="spellEnd"/>
            <w:r>
              <w:rPr>
                <w:iCs/>
                <w:szCs w:val="22"/>
                <w:lang w:val="el-GR" w:eastAsia="el-GR"/>
              </w:rPr>
              <w:t>. 316/2010 (ΦΕΚ 501/Β/11-02-2012) Κοινή Υπουργική Απόφαση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rPr>
            </w:pPr>
            <w:r>
              <w:rPr>
                <w:szCs w:val="22"/>
                <w:lang w:val="en-US"/>
              </w:rPr>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color w:val="000000"/>
                <w:szCs w:val="22"/>
              </w:rPr>
            </w:pPr>
            <w:r>
              <w:rPr>
                <w:color w:val="000000"/>
                <w:szCs w:val="22"/>
              </w:rPr>
              <w:t>2.4</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autoSpaceDE w:val="0"/>
              <w:autoSpaceDN w:val="0"/>
              <w:adjustRightInd w:val="0"/>
              <w:spacing w:after="0"/>
              <w:rPr>
                <w:rFonts w:cs="ArialMT"/>
                <w:color w:val="000000"/>
                <w:szCs w:val="22"/>
                <w:lang w:val="el-GR" w:eastAsia="en-US"/>
              </w:rPr>
            </w:pPr>
            <w:r>
              <w:rPr>
                <w:iCs/>
                <w:szCs w:val="22"/>
                <w:lang w:val="el-GR" w:eastAsia="el-GR"/>
              </w:rPr>
              <w:t xml:space="preserve">Η αμόλυβδη βενζίνη πρέπει να πληροί τις </w:t>
            </w:r>
            <w:r>
              <w:rPr>
                <w:iCs/>
                <w:szCs w:val="22"/>
                <w:lang w:val="el-GR" w:eastAsia="el-GR"/>
              </w:rPr>
              <w:lastRenderedPageBreak/>
              <w:t xml:space="preserve">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xml:space="preserve">. 510/2014 (ΦΕΚ 872/Β/2007) Απόφαση του ΑΧΣ του ΓΧΚ «Καύσιμα αυτοκινήτων –Αμόλυβδη βενζίνη – Απαιτήσεις και μέθοδοι ελέγχου» καθώς και την </w:t>
            </w:r>
            <w:proofErr w:type="spellStart"/>
            <w:r>
              <w:rPr>
                <w:iCs/>
                <w:szCs w:val="22"/>
                <w:lang w:val="el-GR" w:eastAsia="el-GR"/>
              </w:rPr>
              <w:t>αριθμ</w:t>
            </w:r>
            <w:proofErr w:type="spellEnd"/>
            <w:r>
              <w:rPr>
                <w:iCs/>
                <w:szCs w:val="22"/>
                <w:lang w:val="el-GR" w:eastAsia="el-GR"/>
              </w:rPr>
              <w:t>. 316/2010 (ΦΕΚ 501/Β/11-02-2012) Κοινή Υπουργική Απόφαση «Προσαρμογή της ελληνικής νομοθεσίας, στον τομέα της ποιότητας καυσίμων βενζίνης και ντίζελ, προς την οδηγία 2009/30/Ε.Κ. του Ευρωπαϊκού Κοινοβουλίου και του Συμβουλίου».</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rPr>
            </w:pPr>
            <w:r>
              <w:rPr>
                <w:szCs w:val="22"/>
                <w:lang w:val="en-US"/>
              </w:rPr>
              <w:lastRenderedPageBreak/>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color w:val="000000"/>
                <w:szCs w:val="22"/>
              </w:rPr>
            </w:pPr>
            <w:r>
              <w:rPr>
                <w:color w:val="000000"/>
                <w:szCs w:val="22"/>
              </w:rPr>
              <w:lastRenderedPageBreak/>
              <w:t>2.5</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autoSpaceDE w:val="0"/>
              <w:autoSpaceDN w:val="0"/>
              <w:adjustRightInd w:val="0"/>
              <w:spacing w:after="0"/>
              <w:rPr>
                <w:rFonts w:cs="Microsoft Sans Serif"/>
                <w:spacing w:val="1"/>
                <w:szCs w:val="22"/>
                <w:lang w:val="el-GR"/>
              </w:rPr>
            </w:pPr>
            <w:r>
              <w:rPr>
                <w:iCs/>
                <w:szCs w:val="22"/>
                <w:lang w:val="el-GR" w:eastAsia="el-GR"/>
              </w:rPr>
              <w:t xml:space="preserve">Το υγραέριο πρέπει να πληροί τις ιδιότητες και τα χαρακτηριστικά όπως περιγράφονται στην </w:t>
            </w:r>
            <w:proofErr w:type="spellStart"/>
            <w:r>
              <w:rPr>
                <w:iCs/>
                <w:szCs w:val="22"/>
                <w:lang w:val="el-GR" w:eastAsia="el-GR"/>
              </w:rPr>
              <w:t>αριθμ</w:t>
            </w:r>
            <w:proofErr w:type="spellEnd"/>
            <w:r>
              <w:rPr>
                <w:iCs/>
                <w:szCs w:val="22"/>
                <w:lang w:val="el-GR" w:eastAsia="el-GR"/>
              </w:rPr>
              <w:t>. 335/2012 (ΦΕΚ/Β/2013) Κοινή Υπουργική Απόφαση «Καύσιμα αυτοκινήτων-Υγραέρια (</w:t>
            </w:r>
            <w:r>
              <w:rPr>
                <w:iCs/>
                <w:szCs w:val="22"/>
                <w:lang w:val="en-US" w:eastAsia="el-GR"/>
              </w:rPr>
              <w:t>LPG</w:t>
            </w:r>
            <w:r>
              <w:rPr>
                <w:iCs/>
                <w:szCs w:val="22"/>
                <w:lang w:val="el-GR" w:eastAsia="el-GR"/>
              </w:rPr>
              <w:t>)-Απαιτήσεις και Μέθοδοι Δοκιμών».</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lang w:val="el-GR"/>
              </w:rPr>
            </w:pPr>
            <w:r>
              <w:rPr>
                <w:szCs w:val="22"/>
                <w:lang w:val="el-GR"/>
              </w:rPr>
              <w:t>ΝΑΙ</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lang w:val="el-GR"/>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color w:val="000000"/>
                <w:szCs w:val="22"/>
              </w:rPr>
            </w:pPr>
            <w:r>
              <w:rPr>
                <w:color w:val="000000"/>
                <w:szCs w:val="22"/>
              </w:rPr>
              <w:t>2.6</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autoSpaceDE w:val="0"/>
              <w:autoSpaceDN w:val="0"/>
              <w:adjustRightInd w:val="0"/>
              <w:spacing w:after="0"/>
              <w:rPr>
                <w:lang w:val="el-GR"/>
              </w:rPr>
            </w:pPr>
            <w:r>
              <w:rPr>
                <w:iCs/>
                <w:szCs w:val="22"/>
                <w:lang w:val="el-GR" w:eastAsia="el-GR"/>
              </w:rPr>
              <w:t xml:space="preserve">Το </w:t>
            </w:r>
            <w:r>
              <w:rPr>
                <w:iCs/>
                <w:szCs w:val="22"/>
                <w:lang w:val="en-US" w:eastAsia="el-GR"/>
              </w:rPr>
              <w:t>ADBLUE</w:t>
            </w:r>
            <w:r>
              <w:rPr>
                <w:iCs/>
                <w:szCs w:val="22"/>
                <w:lang w:val="el-GR" w:eastAsia="el-GR"/>
              </w:rPr>
              <w:t xml:space="preserve">πρέπει να πληροί τις ιδιότητες και τα χαρακτηριστικά όπως περιγράφονται </w:t>
            </w:r>
            <w:r>
              <w:rPr>
                <w:lang w:val="el-GR"/>
              </w:rPr>
              <w:t>στα</w:t>
            </w:r>
            <w:r w:rsidRPr="00F756E7">
              <w:rPr>
                <w:lang w:val="el-GR"/>
              </w:rPr>
              <w:t xml:space="preserve"> πρότυπα που θα πρέπει να ακολουθούνται κατά την παρασκευή του</w:t>
            </w:r>
            <w:r>
              <w:rPr>
                <w:lang w:val="el-GR"/>
              </w:rPr>
              <w:t xml:space="preserve"> και </w:t>
            </w:r>
            <w:r w:rsidRPr="00F756E7">
              <w:rPr>
                <w:lang w:val="el-GR"/>
              </w:rPr>
              <w:t xml:space="preserve">είναι το </w:t>
            </w:r>
            <w:r>
              <w:t>DINV</w:t>
            </w:r>
            <w:r w:rsidRPr="00F756E7">
              <w:rPr>
                <w:lang w:val="el-GR"/>
              </w:rPr>
              <w:t xml:space="preserve"> 70070 και το Ι</w:t>
            </w:r>
            <w:r>
              <w:t>SO</w:t>
            </w:r>
            <w:r w:rsidRPr="00F756E7">
              <w:rPr>
                <w:lang w:val="el-GR"/>
              </w:rPr>
              <w:t xml:space="preserve"> 22241 όπως και οι κανονισμοί του </w:t>
            </w:r>
            <w:r>
              <w:t>CEFIC</w:t>
            </w:r>
            <w:r w:rsidRPr="00F756E7">
              <w:rPr>
                <w:lang w:val="el-GR"/>
              </w:rPr>
              <w:t xml:space="preserve"> αναφορικά με την μεταφορά και την αποθήκευση του. </w:t>
            </w:r>
          </w:p>
          <w:p w:rsidR="00FB6F8B" w:rsidRDefault="00FB6F8B" w:rsidP="006A2A2D">
            <w:pPr>
              <w:suppressAutoHyphens w:val="0"/>
              <w:autoSpaceDE w:val="0"/>
              <w:autoSpaceDN w:val="0"/>
              <w:adjustRightInd w:val="0"/>
              <w:spacing w:after="0"/>
              <w:rPr>
                <w:iCs/>
                <w:szCs w:val="22"/>
                <w:lang w:val="el-GR" w:eastAsia="el-GR"/>
              </w:rPr>
            </w:pP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Pr="00CC199B" w:rsidRDefault="00FB6F8B" w:rsidP="006A2A2D">
            <w:pPr>
              <w:jc w:val="center"/>
              <w:rPr>
                <w:szCs w:val="22"/>
                <w:lang w:val="en-US"/>
              </w:rPr>
            </w:pPr>
            <w:r>
              <w:rPr>
                <w:szCs w:val="22"/>
                <w:lang w:val="en-US"/>
              </w:rPr>
              <w:t>NAI</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lang w:val="el-GR"/>
              </w:rPr>
            </w:pPr>
          </w:p>
        </w:tc>
      </w:tr>
      <w:tr w:rsidR="00FB6F8B" w:rsidRP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b/>
                <w:i/>
                <w:color w:val="000000"/>
                <w:szCs w:val="22"/>
                <w:lang w:val="el-GR"/>
              </w:rPr>
            </w:pPr>
            <w:r>
              <w:rPr>
                <w:b/>
                <w:i/>
                <w:color w:val="000000"/>
                <w:szCs w:val="22"/>
                <w:lang w:val="el-GR"/>
              </w:rPr>
              <w:t>3</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autoSpaceDE w:val="0"/>
              <w:autoSpaceDN w:val="0"/>
              <w:adjustRightInd w:val="0"/>
              <w:spacing w:after="0"/>
              <w:rPr>
                <w:b/>
                <w:i/>
                <w:iCs/>
                <w:szCs w:val="22"/>
                <w:lang w:val="el-GR" w:eastAsia="el-GR"/>
              </w:rPr>
            </w:pPr>
            <w:r>
              <w:rPr>
                <w:b/>
                <w:i/>
                <w:iCs/>
                <w:szCs w:val="22"/>
                <w:lang w:val="el-GR" w:eastAsia="el-GR"/>
              </w:rPr>
              <w:t>ΚΑΝΟΝΕΣ ΔΙ.Ε.Π.Π.Υ.</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spacing w:after="0"/>
              <w:jc w:val="left"/>
              <w:rPr>
                <w:rFonts w:ascii="Times New Roman" w:hAnsi="Times New Roman" w:cs="Times New Roman"/>
                <w:sz w:val="20"/>
                <w:szCs w:val="20"/>
                <w:lang w:val="el-GR" w:eastAsia="el-GR"/>
              </w:rPr>
            </w:pP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lang w:val="el-GR"/>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lang w:val="el-GR"/>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spacing w:after="0"/>
              <w:jc w:val="left"/>
              <w:rPr>
                <w:rFonts w:ascii="Times New Roman" w:hAnsi="Times New Roman" w:cs="Times New Roman"/>
                <w:sz w:val="20"/>
                <w:szCs w:val="20"/>
                <w:lang w:val="el-GR" w:eastAsia="el-GR"/>
              </w:rPr>
            </w:pP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ind w:left="15" w:right="53"/>
              <w:rPr>
                <w:spacing w:val="-1"/>
                <w:szCs w:val="22"/>
                <w:lang w:val="el-GR"/>
              </w:rPr>
            </w:pPr>
            <w:r>
              <w:rPr>
                <w:spacing w:val="-1"/>
                <w:szCs w:val="22"/>
                <w:lang w:val="el-GR"/>
              </w:rPr>
              <w:t>Ο προμηθευτής πρέπει να τηρεί τους Κανόνες Διακίνησης και Εμπορίας Προϊόντων και Παροχής Υπηρεσιών (Κανόνες ΔΙ.Ε.Π.Π.Υ.), σύμφωνα με την αριθ. Α2-718/2014 (ΦΕΚ 2090/14) Υπουργική Απόφαση.</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rPr>
            </w:pPr>
            <w:r>
              <w:rPr>
                <w:szCs w:val="22"/>
              </w:rPr>
              <w:t>ΝΑΙ</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rPr>
                <w:b/>
                <w:i/>
                <w:color w:val="000000"/>
                <w:szCs w:val="22"/>
                <w:lang w:val="el-GR"/>
              </w:rPr>
            </w:pPr>
            <w:r>
              <w:rPr>
                <w:b/>
                <w:i/>
                <w:color w:val="000000"/>
                <w:szCs w:val="22"/>
                <w:lang w:val="el-GR"/>
              </w:rPr>
              <w:t>4</w:t>
            </w: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ind w:left="15" w:right="53"/>
              <w:rPr>
                <w:b/>
                <w:i/>
                <w:spacing w:val="-1"/>
                <w:szCs w:val="22"/>
                <w:lang w:val="el-GR"/>
              </w:rPr>
            </w:pPr>
            <w:r>
              <w:rPr>
                <w:b/>
                <w:i/>
                <w:spacing w:val="-1"/>
                <w:szCs w:val="22"/>
                <w:lang w:val="el-GR"/>
              </w:rPr>
              <w:t>ΕΠΑΡΚΕΙΑ ΠΡΟΙΟΝΤΩΝ ΠΡΟΣ ΠΡΟΜΗΘΕΙΑ</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spacing w:after="0"/>
              <w:jc w:val="left"/>
              <w:rPr>
                <w:rFonts w:ascii="Times New Roman" w:hAnsi="Times New Roman" w:cs="Times New Roman"/>
                <w:sz w:val="20"/>
                <w:szCs w:val="20"/>
                <w:lang w:val="el-GR" w:eastAsia="el-GR"/>
              </w:rPr>
            </w:pP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rPr>
            </w:pPr>
          </w:p>
        </w:tc>
      </w:tr>
      <w:tr w:rsidR="00FB6F8B" w:rsidTr="006A2A2D">
        <w:trPr>
          <w:jc w:val="center"/>
        </w:trPr>
        <w:tc>
          <w:tcPr>
            <w:tcW w:w="77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suppressAutoHyphens w:val="0"/>
              <w:spacing w:after="0"/>
              <w:jc w:val="left"/>
              <w:rPr>
                <w:rFonts w:ascii="Times New Roman" w:hAnsi="Times New Roman" w:cs="Times New Roman"/>
                <w:sz w:val="20"/>
                <w:szCs w:val="20"/>
                <w:lang w:val="el-GR" w:eastAsia="el-GR"/>
              </w:rPr>
            </w:pPr>
          </w:p>
        </w:tc>
        <w:tc>
          <w:tcPr>
            <w:tcW w:w="4641"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ind w:left="15" w:right="53"/>
              <w:rPr>
                <w:spacing w:val="-1"/>
                <w:szCs w:val="22"/>
                <w:lang w:val="el-GR"/>
              </w:rPr>
            </w:pPr>
            <w:r>
              <w:rPr>
                <w:spacing w:val="-1"/>
                <w:szCs w:val="22"/>
                <w:lang w:val="el-GR"/>
              </w:rPr>
              <w:t>Ο προμηθευτής υποχρεούται να διαθέτει στις αποθήκες του επαρκή ποσότητα καυσίμων για να είναι σε θέση να καλύπτει ανά πάσα στιγμή τις ανάγκες του Τμήματος Υπηρεσιών για τ</w:t>
            </w:r>
            <w:r>
              <w:rPr>
                <w:spacing w:val="-1"/>
                <w:szCs w:val="22"/>
                <w:lang w:val="en-US"/>
              </w:rPr>
              <w:t>o</w:t>
            </w:r>
            <w:r>
              <w:rPr>
                <w:spacing w:val="-1"/>
                <w:szCs w:val="22"/>
                <w:lang w:val="el-GR"/>
              </w:rPr>
              <w:t xml:space="preserve"> οποί</w:t>
            </w:r>
            <w:r>
              <w:rPr>
                <w:spacing w:val="-1"/>
                <w:szCs w:val="22"/>
                <w:lang w:val="en-US"/>
              </w:rPr>
              <w:t>o</w:t>
            </w:r>
            <w:r>
              <w:rPr>
                <w:spacing w:val="-1"/>
                <w:szCs w:val="22"/>
                <w:lang w:val="el-GR"/>
              </w:rPr>
              <w:t xml:space="preserve"> γίνεται η προσφορά.</w:t>
            </w:r>
          </w:p>
        </w:tc>
        <w:tc>
          <w:tcPr>
            <w:tcW w:w="1583" w:type="dxa"/>
            <w:tcBorders>
              <w:top w:val="single" w:sz="4" w:space="0" w:color="auto"/>
              <w:left w:val="single" w:sz="4" w:space="0" w:color="auto"/>
              <w:bottom w:val="single" w:sz="4" w:space="0" w:color="auto"/>
              <w:right w:val="single" w:sz="4" w:space="0" w:color="auto"/>
            </w:tcBorders>
            <w:vAlign w:val="center"/>
            <w:hideMark/>
          </w:tcPr>
          <w:p w:rsidR="00FB6F8B" w:rsidRDefault="00FB6F8B" w:rsidP="006A2A2D">
            <w:pPr>
              <w:jc w:val="center"/>
              <w:rPr>
                <w:szCs w:val="22"/>
              </w:rPr>
            </w:pPr>
            <w:r>
              <w:rPr>
                <w:szCs w:val="22"/>
              </w:rPr>
              <w:t>ΝΑΙ</w:t>
            </w:r>
          </w:p>
        </w:tc>
        <w:tc>
          <w:tcPr>
            <w:tcW w:w="1559"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cyan"/>
              </w:rPr>
            </w:pPr>
          </w:p>
        </w:tc>
        <w:tc>
          <w:tcPr>
            <w:tcW w:w="1776" w:type="dxa"/>
            <w:tcBorders>
              <w:top w:val="single" w:sz="4" w:space="0" w:color="auto"/>
              <w:left w:val="single" w:sz="4" w:space="0" w:color="auto"/>
              <w:bottom w:val="single" w:sz="4" w:space="0" w:color="auto"/>
              <w:right w:val="single" w:sz="4" w:space="0" w:color="auto"/>
            </w:tcBorders>
            <w:vAlign w:val="center"/>
          </w:tcPr>
          <w:p w:rsidR="00FB6F8B" w:rsidRDefault="00FB6F8B" w:rsidP="006A2A2D">
            <w:pPr>
              <w:rPr>
                <w:szCs w:val="22"/>
                <w:highlight w:val="yellow"/>
              </w:rPr>
            </w:pPr>
          </w:p>
        </w:tc>
      </w:tr>
      <w:bookmarkEnd w:id="3"/>
    </w:tbl>
    <w:p w:rsidR="00B3175F" w:rsidRPr="00FB6F8B" w:rsidRDefault="00B3175F">
      <w:pPr>
        <w:rPr>
          <w:lang w:val="el-GR"/>
        </w:rPr>
      </w:pPr>
    </w:p>
    <w:sectPr w:rsidR="00B3175F" w:rsidRPr="00FB6F8B" w:rsidSect="00B3175F">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20002A87" w:usb1="00000000" w:usb2="00000000" w:usb3="00000000" w:csb0="0000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panose1 w:val="00000000000000000000"/>
    <w:charset w:val="A1"/>
    <w:family w:val="auto"/>
    <w:notTrueType/>
    <w:pitch w:val="default"/>
    <w:sig w:usb0="00000081" w:usb1="00000000" w:usb2="00000000" w:usb3="00000000" w:csb0="00000008" w:csb1="00000000"/>
  </w:font>
  <w:font w:name="Microsoft Sans Serif">
    <w:panose1 w:val="020B0604020202020204"/>
    <w:charset w:val="A1"/>
    <w:family w:val="swiss"/>
    <w:pitch w:val="variable"/>
    <w:sig w:usb0="E1002AFF" w:usb1="C0000002"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FB6F8B"/>
    <w:rsid w:val="00113D85"/>
    <w:rsid w:val="00B3175F"/>
    <w:rsid w:val="00D94874"/>
    <w:rsid w:val="00EA0785"/>
    <w:rsid w:val="00F764B2"/>
    <w:rsid w:val="00FB6F8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F8B"/>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uiPriority w:val="9"/>
    <w:qFormat/>
    <w:rsid w:val="00FB6F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qFormat/>
    <w:rsid w:val="00FB6F8B"/>
    <w:pPr>
      <w:keepNext/>
      <w:pBdr>
        <w:top w:val="none" w:sz="0" w:space="0" w:color="000000"/>
        <w:left w:val="none" w:sz="0" w:space="0" w:color="000000"/>
        <w:bottom w:val="single" w:sz="12" w:space="1" w:color="000080"/>
        <w:right w:val="none" w:sz="0" w:space="0" w:color="000000"/>
      </w:pBdr>
      <w:tabs>
        <w:tab w:val="left" w:pos="567"/>
      </w:tabs>
      <w:spacing w:before="240" w:after="80"/>
      <w:ind w:left="567" w:hanging="567"/>
      <w:outlineLvl w:val="1"/>
    </w:pPr>
    <w:rPr>
      <w:rFonts w:ascii="Arial" w:hAnsi="Arial" w:cs="Arial"/>
      <w:b/>
      <w:color w:val="002060"/>
      <w:sz w:val="24"/>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FB6F8B"/>
    <w:rPr>
      <w:rFonts w:ascii="Arial" w:eastAsia="Times New Roman" w:hAnsi="Arial" w:cs="Arial"/>
      <w:b/>
      <w:color w:val="002060"/>
      <w:sz w:val="24"/>
      <w:lang w:val="en-GB" w:eastAsia="zh-CN"/>
    </w:rPr>
  </w:style>
  <w:style w:type="character" w:customStyle="1" w:styleId="1Char">
    <w:name w:val="Επικεφαλίδα 1 Char"/>
    <w:basedOn w:val="a0"/>
    <w:link w:val="1"/>
    <w:uiPriority w:val="9"/>
    <w:rsid w:val="00FB6F8B"/>
    <w:rPr>
      <w:rFonts w:asciiTheme="majorHAnsi" w:eastAsiaTheme="majorEastAsia" w:hAnsiTheme="majorHAnsi" w:cstheme="majorBidi"/>
      <w:b/>
      <w:bCs/>
      <w:color w:val="365F91" w:themeColor="accent1" w:themeShade="BF"/>
      <w:sz w:val="28"/>
      <w:szCs w:val="28"/>
      <w:lang w:val="en-GB"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2587</Characters>
  <Application>Microsoft Office Word</Application>
  <DocSecurity>0</DocSecurity>
  <Lines>21</Lines>
  <Paragraphs>6</Paragraphs>
  <ScaleCrop>false</ScaleCrop>
  <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Hliopoulou</dc:creator>
  <cp:lastModifiedBy>Hliopoulou</cp:lastModifiedBy>
  <cp:revision>1</cp:revision>
  <cp:lastPrinted>2021-05-27T07:00:00Z</cp:lastPrinted>
  <dcterms:created xsi:type="dcterms:W3CDTF">2021-05-27T06:59:00Z</dcterms:created>
  <dcterms:modified xsi:type="dcterms:W3CDTF">2021-05-27T07:00:00Z</dcterms:modified>
</cp:coreProperties>
</file>